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5 -->
  <w:body>
    <w:p>
      <w:pPr>
        <w:pStyle w:val="Heading1"/>
        <w:pageBreakBefore/>
        <w:widowControl/>
        <w:spacing w:before="0" w:line="240" w:lineRule="auto"/>
        <w:ind w:left="0" w:right="0" w:firstLine="0"/>
        <w:jc w:val="left"/>
        <w:rPr>
          <w:rFonts w:eastAsia="Segoe UI" w:hint="default"/>
          <w:i w:val="0"/>
          <w:szCs w:val="24"/>
          <w:rtl w:val="0"/>
          <w:lang w:val="de-DE"/>
        </w:rPr>
      </w:pPr>
      <w:r>
        <w:rPr>
          <w:rFonts w:eastAsia="Segoe UI" w:hint="default"/>
          <w:i w:val="0"/>
          <w:szCs w:val="24"/>
          <w:rtl w:val="0"/>
          <w:lang w:val="de-DE"/>
        </w:rPr>
        <w:t>Literaturverzeichnis- Präsentation Hören</w:t>
      </w:r>
    </w:p>
    <w:p>
      <w:pPr>
        <w:pStyle w:val="CitaviLiteraturverzeichnis"/>
        <w:widowControl/>
        <w:spacing w:before="0" w:line="240" w:lineRule="auto"/>
        <w:ind w:left="720" w:right="0" w:firstLine="0"/>
        <w:jc w:val="left"/>
        <w:rPr>
          <w:rFonts w:eastAsia="Segoe UI" w:hint="default"/>
          <w:szCs w:val="24"/>
          <w:rtl w:val="0"/>
          <w:lang w:val="de-DE"/>
        </w:rPr>
      </w:pPr>
      <w:r>
        <w:rPr>
          <w:rFonts w:eastAsia="Segoe UI" w:hint="default"/>
          <w:szCs w:val="24"/>
          <w:rtl w:val="0"/>
          <w:lang w:val="de-DE"/>
        </w:rPr>
        <w:t>Anne C. Uhlig (2014): Ethnographie der Gehörlosen. Kultur - Kommunikation - Gemeinschaft: transcript Verlag.</w:t>
      </w:r>
    </w:p>
    <w:p>
      <w:pPr>
        <w:pStyle w:val="CitaviLiteraturverzeichnis"/>
        <w:widowControl/>
        <w:spacing w:before="0" w:line="240" w:lineRule="auto"/>
        <w:ind w:left="720" w:right="0" w:firstLine="0"/>
        <w:jc w:val="left"/>
        <w:rPr>
          <w:rFonts w:eastAsia="Segoe UI" w:hint="default"/>
          <w:szCs w:val="24"/>
          <w:rtl w:val="0"/>
          <w:lang w:val="de-DE"/>
        </w:rPr>
      </w:pPr>
    </w:p>
    <w:p>
      <w:pPr>
        <w:pStyle w:val="CitaviLiteraturverzeichnis"/>
        <w:widowControl/>
        <w:spacing w:before="0" w:line="240" w:lineRule="auto"/>
        <w:ind w:left="720" w:right="0" w:firstLine="0"/>
        <w:jc w:val="left"/>
        <w:rPr>
          <w:rFonts w:eastAsia="Segoe UI" w:hint="default"/>
          <w:szCs w:val="24"/>
          <w:rtl w:val="0"/>
          <w:lang w:val="de-DE"/>
        </w:rPr>
      </w:pPr>
      <w:r>
        <w:rPr>
          <w:rFonts w:eastAsia="Segoe UI" w:hint="default"/>
          <w:szCs w:val="24"/>
          <w:rtl w:val="0"/>
          <w:lang w:val="de-DE"/>
        </w:rPr>
        <w:t>Eckart Altenmüller (2018): Vom Neandertal inn die Philharmonie. Warum der Mensch ohne Musik nicht leben kann. Hannover: Springer.</w:t>
      </w:r>
    </w:p>
    <w:p>
      <w:pPr>
        <w:pStyle w:val="CitaviLiteraturverzeichnis"/>
        <w:widowControl/>
        <w:spacing w:before="0" w:line="240" w:lineRule="auto"/>
        <w:ind w:left="720" w:right="0" w:firstLine="0"/>
        <w:jc w:val="left"/>
        <w:rPr>
          <w:rFonts w:eastAsia="Segoe UI" w:hint="default"/>
          <w:szCs w:val="24"/>
          <w:rtl w:val="0"/>
          <w:lang w:val="de-DE"/>
        </w:rPr>
      </w:pPr>
    </w:p>
    <w:p>
      <w:pPr>
        <w:pStyle w:val="CitaviLiteraturverzeichnis"/>
        <w:widowControl/>
        <w:spacing w:before="0" w:line="240" w:lineRule="auto"/>
        <w:ind w:left="720" w:right="0" w:firstLine="0"/>
        <w:jc w:val="left"/>
        <w:rPr>
          <w:rFonts w:eastAsia="Segoe UI" w:hint="default"/>
          <w:szCs w:val="24"/>
          <w:rtl w:val="0"/>
          <w:lang w:val="de-DE"/>
        </w:rPr>
      </w:pPr>
      <w:r>
        <w:rPr>
          <w:rFonts w:eastAsia="Segoe UI" w:hint="default"/>
          <w:szCs w:val="24"/>
          <w:rtl w:val="0"/>
          <w:lang w:val="de-DE"/>
        </w:rPr>
        <w:t>Georg Eska (2013): Schall und Klang. Wie und was wir hören. Basel: Springer.</w:t>
      </w:r>
    </w:p>
    <w:p>
      <w:pPr>
        <w:pStyle w:val="CitaviLiteraturverzeichnis"/>
        <w:widowControl/>
        <w:spacing w:before="0" w:line="240" w:lineRule="auto"/>
        <w:ind w:left="720" w:right="0" w:firstLine="0"/>
        <w:jc w:val="left"/>
        <w:rPr>
          <w:rFonts w:eastAsia="Segoe UI" w:hint="default"/>
          <w:szCs w:val="24"/>
          <w:rtl w:val="0"/>
          <w:lang w:val="de-DE"/>
        </w:rPr>
      </w:pPr>
    </w:p>
    <w:p>
      <w:pPr>
        <w:pStyle w:val="CitaviLiteraturverzeichnis"/>
        <w:widowControl/>
        <w:spacing w:before="0" w:line="240" w:lineRule="auto"/>
        <w:ind w:left="720" w:right="0" w:firstLine="0"/>
        <w:jc w:val="left"/>
        <w:rPr>
          <w:rFonts w:eastAsia="Segoe UI" w:hint="default"/>
          <w:szCs w:val="24"/>
          <w:rtl w:val="0"/>
          <w:lang w:val="de-DE"/>
        </w:rPr>
      </w:pPr>
      <w:r>
        <w:rPr>
          <w:rFonts w:eastAsia="Segoe UI" w:hint="default"/>
          <w:szCs w:val="24"/>
          <w:rtl w:val="0"/>
          <w:lang w:val="de-DE"/>
        </w:rPr>
        <w:t>Horst Wenzel (1995): Hören und Sehen Schrift und Bild. Kultur und Gedächtnis im Mittelalter: Verlag C. H. Beck München.</w:t>
      </w:r>
    </w:p>
    <w:p>
      <w:pPr>
        <w:pStyle w:val="CitaviLiteraturverzeichnis"/>
        <w:widowControl/>
        <w:spacing w:before="0" w:line="240" w:lineRule="auto"/>
        <w:ind w:left="720" w:right="0" w:firstLine="0"/>
        <w:jc w:val="left"/>
        <w:rPr>
          <w:rFonts w:eastAsia="Segoe UI" w:hint="default"/>
          <w:szCs w:val="24"/>
          <w:rtl w:val="0"/>
          <w:lang w:val="de-DE"/>
        </w:rPr>
      </w:pPr>
    </w:p>
    <w:p>
      <w:pPr>
        <w:pStyle w:val="CitaviLiteraturverzeichnis"/>
        <w:widowControl/>
        <w:spacing w:before="0" w:line="240" w:lineRule="auto"/>
        <w:ind w:left="720" w:right="0" w:firstLine="0"/>
        <w:jc w:val="left"/>
        <w:rPr>
          <w:rFonts w:eastAsia="Segoe UI" w:hint="default"/>
          <w:szCs w:val="24"/>
          <w:rtl w:val="0"/>
          <w:lang w:val="de-DE"/>
        </w:rPr>
      </w:pPr>
      <w:r>
        <w:rPr>
          <w:rFonts w:eastAsia="Segoe UI" w:hint="default"/>
          <w:szCs w:val="24"/>
          <w:rtl w:val="0"/>
          <w:lang w:val="de-DE"/>
        </w:rPr>
        <w:t>Jochen Bonz; Katharina Eisch-Angus; Marion Hamm; Almut Sülzle (Hg.) (2017): Ethnografie und Deutung. Gruppensupervision als Methode reflexiven Forschens. Wiesbaden: Springer.</w:t>
      </w:r>
    </w:p>
    <w:p>
      <w:pPr>
        <w:pStyle w:val="CitaviLiteraturverzeichnis"/>
        <w:widowControl/>
        <w:spacing w:before="0" w:line="240" w:lineRule="auto"/>
        <w:ind w:left="720" w:right="0" w:firstLine="0"/>
        <w:jc w:val="left"/>
        <w:rPr>
          <w:rFonts w:eastAsia="Segoe UI" w:hint="default"/>
          <w:szCs w:val="24"/>
          <w:rtl w:val="0"/>
          <w:lang w:val="de-DE"/>
        </w:rPr>
      </w:pPr>
    </w:p>
    <w:p>
      <w:pPr>
        <w:pStyle w:val="CitaviLiteraturverzeichnis"/>
        <w:widowControl/>
        <w:spacing w:before="0" w:line="240" w:lineRule="auto"/>
        <w:ind w:left="720" w:right="0" w:firstLine="0"/>
        <w:jc w:val="left"/>
        <w:rPr>
          <w:rFonts w:eastAsia="Segoe UI" w:hint="default"/>
          <w:szCs w:val="24"/>
          <w:rtl w:val="0"/>
          <w:lang w:val="de-DE"/>
        </w:rPr>
      </w:pPr>
      <w:r>
        <w:rPr>
          <w:rFonts w:eastAsia="Segoe UI" w:hint="default"/>
          <w:szCs w:val="24"/>
          <w:rtl w:val="0"/>
          <w:lang w:val="de-DE"/>
        </w:rPr>
        <w:t>Jürgen Hellbrück; Wolfgang Ellermeier (2004): Hören. Göttingen: Verlag für Psychologie.</w:t>
      </w:r>
    </w:p>
    <w:p>
      <w:pPr>
        <w:pStyle w:val="CitaviLiteraturverzeichnis"/>
        <w:widowControl/>
        <w:spacing w:before="0" w:line="240" w:lineRule="auto"/>
        <w:ind w:left="720" w:right="0" w:firstLine="0"/>
        <w:jc w:val="left"/>
        <w:rPr>
          <w:rFonts w:eastAsia="Segoe UI" w:hint="default"/>
          <w:szCs w:val="24"/>
          <w:rtl w:val="0"/>
          <w:lang w:val="de-DE"/>
        </w:rPr>
      </w:pPr>
    </w:p>
    <w:p>
      <w:pPr>
        <w:pStyle w:val="CitaviLiteraturverzeichnis"/>
        <w:widowControl/>
        <w:spacing w:before="0" w:line="240" w:lineRule="auto"/>
        <w:ind w:left="720" w:right="0" w:firstLine="0"/>
        <w:jc w:val="left"/>
        <w:rPr>
          <w:rFonts w:eastAsia="Segoe UI" w:hint="default"/>
          <w:szCs w:val="24"/>
          <w:rtl w:val="0"/>
          <w:lang w:val="de-DE"/>
        </w:rPr>
      </w:pPr>
      <w:r>
        <w:rPr>
          <w:rFonts w:eastAsia="Segoe UI" w:hint="default"/>
          <w:szCs w:val="24"/>
          <w:rtl w:val="0"/>
          <w:lang w:val="de-DE"/>
        </w:rPr>
        <w:t xml:space="preserve">Steven Feld (1994): From Ethnomusicology to Echo-Muse-Ecology: Reading R. Murray Schafer in the Papua New Guinea Rainforest. In: </w:t>
      </w:r>
      <w:r>
        <w:rPr>
          <w:rFonts w:eastAsia="Segoe UI" w:hint="default"/>
          <w:i/>
          <w:szCs w:val="24"/>
          <w:rtl w:val="0"/>
          <w:lang w:val="de-DE"/>
        </w:rPr>
        <w:t xml:space="preserve">The soundscape Newsletter </w:t>
      </w:r>
      <w:r>
        <w:rPr>
          <w:rFonts w:eastAsia="Segoe UI" w:hint="default"/>
          <w:szCs w:val="24"/>
          <w:rtl w:val="0"/>
          <w:lang w:val="de-DE"/>
        </w:rPr>
        <w:t>(8). Online verfügbar unter https://aeinews.org/aeiarchive/writings/echomuseecology.html.</w:t>
      </w:r>
    </w:p>
    <w:p>
      <w:pPr>
        <w:pStyle w:val="CitaviLiteraturverzeichnis"/>
        <w:widowControl/>
        <w:spacing w:before="0" w:line="240" w:lineRule="auto"/>
        <w:ind w:left="720" w:right="0" w:firstLine="0"/>
        <w:jc w:val="left"/>
        <w:rPr>
          <w:rFonts w:eastAsia="Segoe UI" w:hint="default"/>
          <w:szCs w:val="24"/>
          <w:rtl w:val="0"/>
          <w:lang w:val="de-DE"/>
        </w:rPr>
      </w:pPr>
    </w:p>
    <w:p>
      <w:pPr>
        <w:pStyle w:val="CitaviLiteraturverzeichnis"/>
        <w:widowControl/>
        <w:spacing w:before="0" w:line="240" w:lineRule="auto"/>
        <w:ind w:left="720" w:right="0" w:firstLine="0"/>
        <w:jc w:val="left"/>
        <w:rPr>
          <w:rFonts w:eastAsia="Segoe UI" w:hint="default"/>
          <w:szCs w:val="24"/>
          <w:rtl w:val="0"/>
          <w:lang w:val="de-DE"/>
        </w:rPr>
      </w:pPr>
      <w:r>
        <w:rPr>
          <w:rFonts w:eastAsia="Segoe UI" w:hint="default"/>
          <w:szCs w:val="24"/>
          <w:rtl w:val="0"/>
          <w:lang w:val="de-DE"/>
        </w:rPr>
        <w:t xml:space="preserve">Stuttgarter Zeitung (2016): Millionen Deutsche leben zu laut. Tag gegen Lärm. In: </w:t>
      </w:r>
      <w:r>
        <w:rPr>
          <w:rFonts w:eastAsia="Segoe UI" w:hint="default"/>
          <w:i/>
          <w:szCs w:val="24"/>
          <w:rtl w:val="0"/>
          <w:lang w:val="de-DE"/>
        </w:rPr>
        <w:t>Stuttgarter Zeitung</w:t>
      </w:r>
      <w:r>
        <w:rPr>
          <w:rFonts w:eastAsia="Segoe UI" w:hint="default"/>
          <w:szCs w:val="24"/>
          <w:rtl w:val="0"/>
          <w:lang w:val="de-DE"/>
        </w:rPr>
        <w:t>, S. 1. Online verfügbar unter https://www.stuttgarter-zeitung.de/inhalt.tag-gegen-laerm-millionen-deutsche-leben-zu-laut.45c36df2-9afc-46ff-8185-9c4de73503be.html.</w:t>
      </w:r>
    </w:p>
    <w:sectPr>
      <w:type w:val="nextPage"/>
      <w:pgSz w:w="11906" w:h="16838"/>
      <w:pgMar w:top="567" w:right="567" w:bottom="567" w:left="1134" w:header="850" w:footer="850"/>
      <w:pgNumType w:fmt="decimal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charset w:val="01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compressPunctuation"/>
  <w:compat>
    <w:spaceForUL/>
    <w:balanceSingleByteDoubleByteWidth/>
    <w:doNotLeaveBackslashAlon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bidi w:val="0"/>
      <w:adjustRightInd w:val="0"/>
      <w:spacing w:before="0" w:after="120" w:line="0" w:lineRule="atLeast"/>
      <w:ind w:left="0" w:right="0" w:firstLine="0"/>
    </w:pPr>
    <w:rPr>
      <w:rFonts w:ascii="Segoe UI" w:hAnsi="Segoe UI" w:cs="Segoe UI"/>
      <w:sz w:val="18"/>
    </w:rPr>
  </w:style>
  <w:style w:type="paragraph" w:styleId="Heading1">
    <w:name w:val="heading 1"/>
    <w:next w:val="Normal"/>
    <w:uiPriority w:val="99"/>
    <w:pPr>
      <w:keepNext/>
      <w:keepLines/>
      <w:widowControl w:val="0"/>
      <w:autoSpaceDE w:val="0"/>
      <w:autoSpaceDN w:val="0"/>
      <w:bidi w:val="0"/>
      <w:adjustRightInd w:val="0"/>
      <w:spacing w:before="0" w:after="720" w:line="0" w:lineRule="atLeast"/>
      <w:ind w:left="0" w:right="0" w:firstLine="0"/>
      <w:outlineLvl w:val="0"/>
    </w:pPr>
    <w:rPr>
      <w:rFonts w:ascii="Segoe UI" w:hAnsi="Segoe UI" w:cs="Segoe UI"/>
      <w:b/>
      <w:i w:val="0"/>
      <w:sz w:val="30"/>
    </w:rPr>
  </w:style>
  <w:style w:type="paragraph" w:styleId="Heading2">
    <w:name w:val="heading 2"/>
    <w:next w:val="Normal"/>
    <w:uiPriority w:val="99"/>
    <w:pPr>
      <w:keepNext/>
      <w:keepLines/>
      <w:widowControl w:val="0"/>
      <w:autoSpaceDE w:val="0"/>
      <w:autoSpaceDN w:val="0"/>
      <w:bidi w:val="0"/>
      <w:adjustRightInd w:val="0"/>
      <w:spacing w:before="720" w:after="480" w:line="0" w:lineRule="atLeast"/>
      <w:ind w:left="0" w:right="0" w:firstLine="0"/>
      <w:outlineLvl w:val="1"/>
    </w:pPr>
    <w:rPr>
      <w:rFonts w:ascii="Segoe UI" w:hAnsi="Segoe UI" w:cs="Segoe UI"/>
      <w:b/>
      <w:i w:val="0"/>
      <w:sz w:val="24"/>
    </w:rPr>
  </w:style>
  <w:style w:type="paragraph" w:styleId="Heading3">
    <w:name w:val="heading 3"/>
    <w:next w:val="Normal"/>
    <w:uiPriority w:val="99"/>
    <w:pPr>
      <w:keepNext/>
      <w:keepLines/>
      <w:widowControl w:val="0"/>
      <w:autoSpaceDE w:val="0"/>
      <w:autoSpaceDN w:val="0"/>
      <w:bidi w:val="0"/>
      <w:adjustRightInd w:val="0"/>
      <w:spacing w:before="480" w:after="120" w:line="0" w:lineRule="atLeast"/>
      <w:ind w:left="0" w:right="0" w:firstLine="0"/>
      <w:outlineLvl w:val="2"/>
    </w:pPr>
    <w:rPr>
      <w:rFonts w:ascii="Segoe UI" w:hAnsi="Segoe UI" w:cs="Segoe UI"/>
      <w:b/>
      <w:i/>
      <w:sz w:val="20"/>
    </w:rPr>
  </w:style>
  <w:style w:type="paragraph" w:styleId="Heading4">
    <w:name w:val="heading 4"/>
    <w:next w:val="Normal"/>
    <w:uiPriority w:val="99"/>
    <w:pPr>
      <w:keepNext/>
      <w:keepLines/>
      <w:widowControl w:val="0"/>
      <w:autoSpaceDE w:val="0"/>
      <w:autoSpaceDN w:val="0"/>
      <w:bidi w:val="0"/>
      <w:adjustRightInd w:val="0"/>
      <w:spacing w:before="480" w:after="0" w:line="0" w:lineRule="atLeast"/>
      <w:ind w:left="0" w:right="0" w:firstLine="0"/>
      <w:outlineLvl w:val="3"/>
    </w:pPr>
    <w:rPr>
      <w:rFonts w:ascii="Segoe UI" w:hAnsi="Segoe UI" w:cs="Segoe UI"/>
      <w:b w:val="0"/>
      <w:i/>
      <w:sz w:val="20"/>
    </w:rPr>
  </w:style>
  <w:style w:type="paragraph" w:styleId="Heading5">
    <w:name w:val="heading 5"/>
    <w:next w:val="Normal"/>
    <w:uiPriority w:val="99"/>
    <w:pPr>
      <w:keepNext/>
      <w:keepLines/>
      <w:widowControl w:val="0"/>
      <w:autoSpaceDE w:val="0"/>
      <w:autoSpaceDN w:val="0"/>
      <w:bidi w:val="0"/>
      <w:adjustRightInd w:val="0"/>
      <w:spacing w:before="480" w:after="0" w:line="0" w:lineRule="atLeast"/>
      <w:ind w:left="0" w:right="0" w:firstLine="0"/>
      <w:outlineLvl w:val="4"/>
    </w:pPr>
    <w:rPr>
      <w:rFonts w:ascii="Segoe UI" w:hAnsi="Segoe UI" w:cs="Segoe UI"/>
      <w:b w:val="0"/>
      <w:i/>
      <w:sz w:val="20"/>
    </w:rPr>
  </w:style>
  <w:style w:type="paragraph" w:styleId="Heading6">
    <w:name w:val="heading 6"/>
    <w:next w:val="Normal"/>
    <w:uiPriority w:val="99"/>
    <w:pPr>
      <w:keepNext/>
      <w:keepLines/>
      <w:widowControl w:val="0"/>
      <w:autoSpaceDE w:val="0"/>
      <w:autoSpaceDN w:val="0"/>
      <w:bidi w:val="0"/>
      <w:adjustRightInd w:val="0"/>
      <w:spacing w:before="480" w:after="0" w:line="0" w:lineRule="atLeast"/>
      <w:ind w:left="0" w:right="0" w:firstLine="0"/>
      <w:outlineLvl w:val="5"/>
    </w:pPr>
    <w:rPr>
      <w:rFonts w:ascii="Segoe UI" w:hAnsi="Segoe UI" w:cs="Segoe UI"/>
      <w:b w:val="0"/>
      <w:i/>
      <w:sz w:val="20"/>
    </w:rPr>
  </w:style>
  <w:style w:type="paragraph" w:styleId="Heading7">
    <w:name w:val="heading 7"/>
    <w:next w:val="Normal"/>
    <w:uiPriority w:val="99"/>
    <w:pPr>
      <w:keepNext/>
      <w:keepLines/>
      <w:widowControl w:val="0"/>
      <w:autoSpaceDE w:val="0"/>
      <w:autoSpaceDN w:val="0"/>
      <w:bidi w:val="0"/>
      <w:adjustRightInd w:val="0"/>
      <w:spacing w:before="480" w:after="0" w:line="0" w:lineRule="atLeast"/>
      <w:ind w:left="0" w:right="0" w:firstLine="0"/>
      <w:outlineLvl w:val="6"/>
    </w:pPr>
    <w:rPr>
      <w:rFonts w:ascii="Segoe UI" w:hAnsi="Segoe UI" w:cs="Segoe UI"/>
      <w:b w:val="0"/>
      <w:i/>
      <w:sz w:val="20"/>
    </w:rPr>
  </w:style>
  <w:style w:type="paragraph" w:styleId="Heading8">
    <w:name w:val="heading 8"/>
    <w:next w:val="Normal"/>
    <w:uiPriority w:val="99"/>
    <w:pPr>
      <w:keepNext/>
      <w:keepLines/>
      <w:widowControl w:val="0"/>
      <w:autoSpaceDE w:val="0"/>
      <w:autoSpaceDN w:val="0"/>
      <w:bidi w:val="0"/>
      <w:adjustRightInd w:val="0"/>
      <w:spacing w:before="480" w:after="0" w:line="0" w:lineRule="atLeast"/>
      <w:ind w:left="0" w:right="0" w:firstLine="0"/>
      <w:outlineLvl w:val="7"/>
    </w:pPr>
    <w:rPr>
      <w:rFonts w:ascii="Segoe UI" w:hAnsi="Segoe UI" w:cs="Segoe UI"/>
      <w:b w:val="0"/>
      <w:i/>
      <w:sz w:val="20"/>
    </w:rPr>
  </w:style>
  <w:style w:type="paragraph" w:styleId="Heading9">
    <w:name w:val="heading 9"/>
    <w:next w:val="Normal"/>
    <w:uiPriority w:val="99"/>
    <w:pPr>
      <w:keepNext/>
      <w:keepLines/>
      <w:widowControl w:val="0"/>
      <w:autoSpaceDE w:val="0"/>
      <w:autoSpaceDN w:val="0"/>
      <w:bidi w:val="0"/>
      <w:adjustRightInd w:val="0"/>
      <w:spacing w:before="480" w:after="0" w:line="0" w:lineRule="atLeast"/>
      <w:ind w:left="0" w:right="0" w:firstLine="0"/>
      <w:outlineLvl w:val="8"/>
    </w:pPr>
    <w:rPr>
      <w:rFonts w:ascii="Segoe UI" w:hAnsi="Segoe UI" w:cs="Segoe UI"/>
      <w:b w:val="0"/>
      <w:i/>
      <w:sz w:val="20"/>
    </w:rPr>
  </w:style>
  <w:style w:type="character" w:default="1" w:styleId="DefaultParagraphFont">
    <w:name w:val="Default Paragraph Font"/>
    <w:uiPriority w:val="99"/>
  </w:style>
  <w:style w:type="paragraph" w:styleId="Subtitle">
    <w:name w:val="Subtitle"/>
    <w:uiPriority w:val="99"/>
    <w:pPr>
      <w:keepNext/>
      <w:keepLines/>
      <w:widowControl w:val="0"/>
      <w:autoSpaceDE w:val="0"/>
      <w:autoSpaceDN w:val="0"/>
      <w:bidi w:val="0"/>
      <w:adjustRightInd w:val="0"/>
      <w:spacing w:before="480" w:after="0" w:line="0" w:lineRule="atLeast"/>
      <w:ind w:left="0" w:right="0" w:firstLine="0"/>
      <w:outlineLvl w:val="9"/>
    </w:pPr>
    <w:rPr>
      <w:rFonts w:ascii="Segoe UI" w:hAnsi="Segoe UI" w:cs="Segoe UI"/>
      <w:b w:val="0"/>
      <w:i w:val="0"/>
      <w:color w:val="15428B"/>
      <w:sz w:val="20"/>
    </w:rPr>
  </w:style>
  <w:style w:type="paragraph" w:styleId="Title">
    <w:name w:val="Title"/>
    <w:uiPriority w:val="99"/>
    <w:pPr>
      <w:keepNext/>
      <w:keepLines/>
      <w:widowControl w:val="0"/>
      <w:autoSpaceDE w:val="0"/>
      <w:autoSpaceDN w:val="0"/>
      <w:bidi w:val="0"/>
      <w:adjustRightInd w:val="0"/>
      <w:spacing w:before="720" w:after="240" w:line="0" w:lineRule="atLeast"/>
      <w:ind w:left="0" w:right="0" w:firstLine="0"/>
      <w:outlineLvl w:val="9"/>
    </w:pPr>
    <w:rPr>
      <w:rFonts w:ascii="Segoe UI" w:hAnsi="Segoe UI" w:cs="Segoe UI"/>
      <w:b/>
      <w:i w:val="0"/>
      <w:color w:val="000000"/>
      <w:sz w:val="20"/>
    </w:rPr>
  </w:style>
  <w:style w:type="paragraph" w:styleId="FootnoteText">
    <w:name w:val="footnote text"/>
    <w:uiPriority w:val="99"/>
    <w:pPr>
      <w:widowControl w:val="0"/>
      <w:autoSpaceDE w:val="0"/>
      <w:autoSpaceDN w:val="0"/>
      <w:bidi w:val="0"/>
      <w:adjustRightInd w:val="0"/>
      <w:spacing w:before="0" w:after="0" w:line="0" w:lineRule="atLeast"/>
      <w:ind w:left="227" w:right="0" w:hanging="227"/>
    </w:pPr>
    <w:rPr>
      <w:rFonts w:ascii="Segoe UI" w:hAnsi="Segoe UI" w:cs="Segoe UI"/>
      <w:sz w:val="16"/>
    </w:rPr>
  </w:style>
  <w:style w:type="paragraph" w:styleId="TOC1">
    <w:name w:val="toc 1"/>
    <w:next w:val="Normal"/>
    <w:uiPriority w:val="99"/>
    <w:pPr>
      <w:keepNext/>
      <w:keepLines/>
      <w:widowControl w:val="0"/>
      <w:autoSpaceDE w:val="0"/>
      <w:autoSpaceDN w:val="0"/>
      <w:bidi w:val="0"/>
      <w:adjustRightInd w:val="0"/>
      <w:spacing w:before="720" w:after="120" w:line="0" w:lineRule="atLeast"/>
      <w:ind w:left="567" w:right="0" w:hanging="567"/>
    </w:pPr>
    <w:rPr>
      <w:rFonts w:ascii="Segoe UI" w:hAnsi="Segoe UI" w:cs="Segoe UI"/>
      <w:b/>
      <w:sz w:val="18"/>
    </w:rPr>
  </w:style>
  <w:style w:type="paragraph" w:styleId="TOC2">
    <w:name w:val="toc 2"/>
    <w:next w:val="Normal"/>
    <w:uiPriority w:val="99"/>
    <w:pPr>
      <w:widowControl w:val="0"/>
      <w:autoSpaceDE w:val="0"/>
      <w:autoSpaceDN w:val="0"/>
      <w:bidi w:val="0"/>
      <w:adjustRightInd w:val="0"/>
      <w:spacing w:before="120" w:after="120" w:line="0" w:lineRule="atLeast"/>
      <w:ind w:left="1134" w:right="0" w:hanging="567"/>
    </w:pPr>
    <w:rPr>
      <w:rFonts w:ascii="Segoe UI" w:hAnsi="Segoe UI" w:cs="Segoe UI"/>
      <w:i/>
      <w:sz w:val="18"/>
    </w:rPr>
  </w:style>
  <w:style w:type="paragraph" w:styleId="TOC3">
    <w:name w:val="toc 3"/>
    <w:next w:val="Normal"/>
    <w:uiPriority w:val="99"/>
    <w:pPr>
      <w:widowControl w:val="0"/>
      <w:autoSpaceDE w:val="0"/>
      <w:autoSpaceDN w:val="0"/>
      <w:bidi w:val="0"/>
      <w:adjustRightInd w:val="0"/>
      <w:spacing w:before="0" w:after="120" w:line="0" w:lineRule="atLeast"/>
      <w:ind w:left="1701" w:right="0" w:hanging="567"/>
    </w:pPr>
    <w:rPr>
      <w:rFonts w:ascii="Segoe UI" w:hAnsi="Segoe UI" w:cs="Segoe UI"/>
      <w:sz w:val="18"/>
    </w:rPr>
  </w:style>
  <w:style w:type="paragraph" w:styleId="TOC4">
    <w:name w:val="toc 4"/>
    <w:next w:val="Normal"/>
    <w:uiPriority w:val="99"/>
    <w:pPr>
      <w:widowControl w:val="0"/>
      <w:autoSpaceDE w:val="0"/>
      <w:autoSpaceDN w:val="0"/>
      <w:bidi w:val="0"/>
      <w:adjustRightInd w:val="0"/>
      <w:spacing w:before="0" w:after="120" w:line="0" w:lineRule="atLeast"/>
      <w:ind w:left="720" w:right="0" w:firstLine="0"/>
    </w:pPr>
    <w:rPr>
      <w:rFonts w:ascii="Segoe UI" w:hAnsi="Segoe UI" w:cs="Segoe UI"/>
      <w:sz w:val="18"/>
    </w:rPr>
  </w:style>
  <w:style w:type="paragraph" w:styleId="TOC5">
    <w:name w:val="toc 5"/>
    <w:next w:val="Normal"/>
    <w:uiPriority w:val="99"/>
    <w:pPr>
      <w:widowControl w:val="0"/>
      <w:autoSpaceDE w:val="0"/>
      <w:autoSpaceDN w:val="0"/>
      <w:bidi w:val="0"/>
      <w:adjustRightInd w:val="0"/>
      <w:spacing w:before="0" w:after="120" w:line="0" w:lineRule="atLeast"/>
      <w:ind w:left="960" w:right="0" w:firstLine="0"/>
    </w:pPr>
    <w:rPr>
      <w:rFonts w:ascii="Segoe UI" w:hAnsi="Segoe UI" w:cs="Segoe UI"/>
      <w:sz w:val="18"/>
    </w:rPr>
  </w:style>
  <w:style w:type="paragraph" w:styleId="TOC6">
    <w:name w:val="toc 6"/>
    <w:next w:val="Normal"/>
    <w:uiPriority w:val="99"/>
    <w:pPr>
      <w:widowControl w:val="0"/>
      <w:autoSpaceDE w:val="0"/>
      <w:autoSpaceDN w:val="0"/>
      <w:bidi w:val="0"/>
      <w:adjustRightInd w:val="0"/>
      <w:spacing w:before="0" w:after="120" w:line="0" w:lineRule="atLeast"/>
      <w:ind w:left="1200" w:right="0" w:firstLine="0"/>
    </w:pPr>
    <w:rPr>
      <w:rFonts w:ascii="Segoe UI" w:hAnsi="Segoe UI" w:cs="Segoe UI"/>
      <w:sz w:val="18"/>
    </w:rPr>
  </w:style>
  <w:style w:type="paragraph" w:styleId="TOC7">
    <w:name w:val="toc 7"/>
    <w:next w:val="Normal"/>
    <w:uiPriority w:val="99"/>
    <w:pPr>
      <w:widowControl w:val="0"/>
      <w:autoSpaceDE w:val="0"/>
      <w:autoSpaceDN w:val="0"/>
      <w:bidi w:val="0"/>
      <w:adjustRightInd w:val="0"/>
      <w:spacing w:before="0" w:after="120" w:line="0" w:lineRule="atLeast"/>
      <w:ind w:left="1440" w:right="0" w:firstLine="0"/>
    </w:pPr>
    <w:rPr>
      <w:rFonts w:ascii="Segoe UI" w:hAnsi="Segoe UI" w:cs="Segoe UI"/>
      <w:sz w:val="18"/>
    </w:rPr>
  </w:style>
  <w:style w:type="paragraph" w:styleId="TOC8">
    <w:name w:val="toc 8"/>
    <w:next w:val="Normal"/>
    <w:uiPriority w:val="99"/>
    <w:pPr>
      <w:widowControl w:val="0"/>
      <w:autoSpaceDE w:val="0"/>
      <w:autoSpaceDN w:val="0"/>
      <w:bidi w:val="0"/>
      <w:adjustRightInd w:val="0"/>
      <w:spacing w:before="0" w:after="120" w:line="0" w:lineRule="atLeast"/>
      <w:ind w:left="1680" w:right="0" w:firstLine="0"/>
    </w:pPr>
    <w:rPr>
      <w:rFonts w:ascii="Segoe UI" w:hAnsi="Segoe UI" w:cs="Segoe UI"/>
      <w:sz w:val="18"/>
    </w:rPr>
  </w:style>
  <w:style w:type="paragraph" w:styleId="TOC9">
    <w:name w:val="toc 9"/>
    <w:next w:val="Normal"/>
    <w:uiPriority w:val="99"/>
    <w:pPr>
      <w:widowControl w:val="0"/>
      <w:autoSpaceDE w:val="0"/>
      <w:autoSpaceDN w:val="0"/>
      <w:bidi w:val="0"/>
      <w:adjustRightInd w:val="0"/>
      <w:spacing w:before="0" w:after="120" w:line="0" w:lineRule="atLeast"/>
      <w:ind w:left="1920" w:right="0" w:firstLine="0"/>
    </w:pPr>
    <w:rPr>
      <w:rFonts w:ascii="Segoe UI" w:hAnsi="Segoe UI" w:cs="Segoe UI"/>
      <w:sz w:val="18"/>
    </w:rPr>
  </w:style>
  <w:style w:type="paragraph" w:customStyle="1" w:styleId="CitaviLiteraturverzeichnis">
    <w:name w:val="Citavi Literaturverzeichnis"/>
    <w:uiPriority w:val="99"/>
    <w:pPr>
      <w:widowControl w:val="0"/>
      <w:autoSpaceDE w:val="0"/>
      <w:autoSpaceDN w:val="0"/>
      <w:bidi w:val="0"/>
      <w:adjustRightInd w:val="0"/>
      <w:spacing w:before="0" w:after="120" w:line="0" w:lineRule="atLeast"/>
      <w:ind w:left="0" w:right="0" w:firstLine="0"/>
    </w:pPr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